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1B6816" w14:textId="12431DF2" w:rsidR="006B5A26" w:rsidRPr="00A11BD2" w:rsidRDefault="009B3FBC">
      <w:pPr>
        <w:rPr>
          <w:rFonts w:ascii="Times" w:hAnsi="Times"/>
        </w:rPr>
      </w:pPr>
      <w:r w:rsidRPr="00A11BD2">
        <w:rPr>
          <w:rFonts w:ascii="Times" w:hAnsi="Times"/>
        </w:rPr>
        <w:t xml:space="preserve">Methods </w:t>
      </w:r>
    </w:p>
    <w:p w14:paraId="0432A8A9" w14:textId="3C1CB4B6" w:rsidR="00B95114" w:rsidRDefault="00B95114" w:rsidP="00B95114">
      <w:pPr>
        <w:jc w:val="both"/>
        <w:rPr>
          <w:rFonts w:ascii="Times" w:hAnsi="Times"/>
        </w:rPr>
      </w:pPr>
    </w:p>
    <w:p w14:paraId="4C619358" w14:textId="2E25F8A4" w:rsidR="00B95114" w:rsidRDefault="00DC6082" w:rsidP="00B95114">
      <w:pPr>
        <w:jc w:val="both"/>
        <w:rPr>
          <w:rFonts w:ascii="Times" w:hAnsi="Times"/>
        </w:rPr>
      </w:pPr>
      <w:r>
        <w:rPr>
          <w:rFonts w:ascii="Times" w:hAnsi="Times"/>
        </w:rPr>
        <w:t xml:space="preserve">We estimated temporal changes in mangrove cover using two time periods (2006 and 2010) to evaluate whether habitat loss and fragmentation of a key coastal ecosystem is lower inside protected </w:t>
      </w:r>
      <w:r w:rsidR="00556D14">
        <w:rPr>
          <w:rFonts w:ascii="Times" w:hAnsi="Times"/>
        </w:rPr>
        <w:t>compared to</w:t>
      </w:r>
      <w:r>
        <w:rPr>
          <w:rFonts w:ascii="Times" w:hAnsi="Times"/>
        </w:rPr>
        <w:t xml:space="preserve"> unprotected areas (Aichi Target 5, see full definition in Table </w:t>
      </w:r>
      <w:commentRangeStart w:id="0"/>
      <w:r>
        <w:rPr>
          <w:rFonts w:ascii="Times" w:hAnsi="Times"/>
        </w:rPr>
        <w:t>SX</w:t>
      </w:r>
      <w:commentRangeEnd w:id="0"/>
      <w:r>
        <w:rPr>
          <w:rStyle w:val="CommentReference"/>
        </w:rPr>
        <w:commentReference w:id="0"/>
      </w:r>
      <w:r>
        <w:rPr>
          <w:rFonts w:ascii="Times" w:hAnsi="Times"/>
        </w:rPr>
        <w:t>).</w:t>
      </w:r>
      <w:r w:rsidR="001817D4">
        <w:rPr>
          <w:rFonts w:ascii="Times" w:hAnsi="Times"/>
        </w:rPr>
        <w:t xml:space="preserve"> Using two available spatial datasets of mangrove cover (WCMC) from 2010 (ALOS PALSAR) and 2016 (ALOS-2 PALSAR-2), we calculate</w:t>
      </w:r>
      <w:r w:rsidR="00556D14">
        <w:rPr>
          <w:rFonts w:ascii="Times" w:hAnsi="Times"/>
        </w:rPr>
        <w:t>d</w:t>
      </w:r>
      <w:r w:rsidR="001817D4">
        <w:rPr>
          <w:rFonts w:ascii="Times" w:hAnsi="Times"/>
        </w:rPr>
        <w:t xml:space="preserve"> mangrove total area (km</w:t>
      </w:r>
      <w:r w:rsidR="001817D4" w:rsidRPr="001817D4">
        <w:rPr>
          <w:rFonts w:ascii="Times" w:hAnsi="Times"/>
          <w:vertAlign w:val="superscript"/>
        </w:rPr>
        <w:t>2</w:t>
      </w:r>
      <w:r w:rsidR="001817D4">
        <w:rPr>
          <w:rFonts w:ascii="Times" w:hAnsi="Times"/>
        </w:rPr>
        <w:t>) inside protected areas established prior 2011 and outside protected areas established anytime</w:t>
      </w:r>
      <w:r w:rsidR="00556D14">
        <w:rPr>
          <w:rFonts w:ascii="Times" w:hAnsi="Times"/>
        </w:rPr>
        <w:t xml:space="preserve">. Thus, </w:t>
      </w:r>
      <w:commentRangeStart w:id="1"/>
      <w:r w:rsidR="00556D14">
        <w:rPr>
          <w:rFonts w:ascii="Times" w:hAnsi="Times"/>
        </w:rPr>
        <w:t>temporal</w:t>
      </w:r>
      <w:commentRangeEnd w:id="1"/>
      <w:r w:rsidR="00CC5B09">
        <w:rPr>
          <w:rStyle w:val="CommentReference"/>
        </w:rPr>
        <w:commentReference w:id="1"/>
      </w:r>
      <w:r w:rsidR="00556D14">
        <w:rPr>
          <w:rFonts w:ascii="Times" w:hAnsi="Times"/>
        </w:rPr>
        <w:t xml:space="preserve"> changes of mangrove cover outside protected areas were estimated only for areas which have not been formally protected by a national PA. Because mangroves are found in land-sea transitional areas, we use the World Database on Protected Area (WDPA) to compile coastal protected areas </w:t>
      </w:r>
      <w:r w:rsidR="009C07C1">
        <w:rPr>
          <w:rFonts w:ascii="Times" w:hAnsi="Times"/>
        </w:rPr>
        <w:t>that capture these land-sea area</w:t>
      </w:r>
      <w:r w:rsidR="00556D14">
        <w:rPr>
          <w:rFonts w:ascii="Times" w:hAnsi="Times"/>
        </w:rPr>
        <w:t>.</w:t>
      </w:r>
      <w:r w:rsidR="009C07C1">
        <w:rPr>
          <w:rFonts w:ascii="Times" w:hAnsi="Times"/>
        </w:rPr>
        <w:t xml:space="preserve"> We have only considered </w:t>
      </w:r>
      <w:r w:rsidR="00D03AA6">
        <w:rPr>
          <w:rFonts w:ascii="Times" w:hAnsi="Times"/>
        </w:rPr>
        <w:t xml:space="preserve">national </w:t>
      </w:r>
      <w:r w:rsidR="009C07C1">
        <w:rPr>
          <w:rFonts w:ascii="Times" w:hAnsi="Times"/>
        </w:rPr>
        <w:t xml:space="preserve">protected areas under </w:t>
      </w:r>
      <w:r w:rsidR="00D03AA6">
        <w:rPr>
          <w:rFonts w:ascii="Times" w:hAnsi="Times"/>
        </w:rPr>
        <w:t xml:space="preserve">established </w:t>
      </w:r>
      <w:r w:rsidR="009C07C1">
        <w:rPr>
          <w:rFonts w:ascii="Times" w:hAnsi="Times"/>
        </w:rPr>
        <w:t>IUCN categories (I-V).</w:t>
      </w:r>
    </w:p>
    <w:p w14:paraId="7FB30B86" w14:textId="344D7845" w:rsidR="00B95114" w:rsidRDefault="00B95114" w:rsidP="00B95114">
      <w:pPr>
        <w:jc w:val="both"/>
        <w:rPr>
          <w:rFonts w:ascii="Times" w:hAnsi="Times"/>
        </w:rPr>
      </w:pPr>
    </w:p>
    <w:p w14:paraId="1B0BB3DA" w14:textId="3611C098" w:rsidR="00B95114" w:rsidRDefault="00AC3B93" w:rsidP="00B95114">
      <w:pPr>
        <w:jc w:val="both"/>
        <w:rPr>
          <w:rFonts w:ascii="Times" w:hAnsi="Times"/>
        </w:rPr>
      </w:pPr>
      <w:r>
        <w:rPr>
          <w:rFonts w:ascii="Times" w:hAnsi="Times"/>
        </w:rPr>
        <w:t xml:space="preserve">To assess achievements towards </w:t>
      </w:r>
      <w:r w:rsidR="00727972">
        <w:rPr>
          <w:rFonts w:ascii="Times" w:hAnsi="Times"/>
        </w:rPr>
        <w:t xml:space="preserve">Aichi </w:t>
      </w:r>
      <w:r>
        <w:rPr>
          <w:rFonts w:ascii="Times" w:hAnsi="Times"/>
        </w:rPr>
        <w:t>Target 11 (see full definition in Table SX), w</w:t>
      </w:r>
      <w:r w:rsidR="00B95114">
        <w:rPr>
          <w:rFonts w:ascii="Times" w:hAnsi="Times"/>
        </w:rPr>
        <w:t xml:space="preserve">e used </w:t>
      </w:r>
      <w:r w:rsidR="00D03AA6">
        <w:rPr>
          <w:rFonts w:ascii="Times" w:hAnsi="Times"/>
        </w:rPr>
        <w:t xml:space="preserve">a total of </w:t>
      </w:r>
      <w:commentRangeStart w:id="2"/>
      <w:r w:rsidR="00B95114">
        <w:rPr>
          <w:rFonts w:ascii="Times" w:hAnsi="Times"/>
        </w:rPr>
        <w:t>9</w:t>
      </w:r>
      <w:commentRangeEnd w:id="2"/>
      <w:r w:rsidR="004573B3">
        <w:rPr>
          <w:rStyle w:val="CommentReference"/>
        </w:rPr>
        <w:commentReference w:id="2"/>
      </w:r>
      <w:r w:rsidR="00B95114">
        <w:rPr>
          <w:rFonts w:ascii="Times" w:hAnsi="Times"/>
        </w:rPr>
        <w:t xml:space="preserve"> indicators </w:t>
      </w:r>
      <w:r>
        <w:rPr>
          <w:rFonts w:ascii="Times" w:hAnsi="Times"/>
        </w:rPr>
        <w:t>of</w:t>
      </w:r>
      <w:r w:rsidR="00EC5186">
        <w:rPr>
          <w:rFonts w:ascii="Times" w:hAnsi="Times"/>
        </w:rPr>
        <w:t xml:space="preserve"> areas of particular importance for biodiversity and ecosystem services (Table SX).</w:t>
      </w:r>
      <w:r>
        <w:rPr>
          <w:rFonts w:ascii="Times" w:hAnsi="Times"/>
        </w:rPr>
        <w:t xml:space="preserve"> </w:t>
      </w:r>
      <w:r w:rsidR="00C609CF">
        <w:rPr>
          <w:rFonts w:ascii="Times" w:hAnsi="Times"/>
        </w:rPr>
        <w:t>W</w:t>
      </w:r>
      <w:r>
        <w:rPr>
          <w:rFonts w:ascii="Times" w:hAnsi="Times"/>
        </w:rPr>
        <w:t>e estimated the percent of</w:t>
      </w:r>
      <w:r w:rsidR="00D03AA6">
        <w:rPr>
          <w:rFonts w:ascii="Times" w:hAnsi="Times"/>
        </w:rPr>
        <w:t xml:space="preserve"> </w:t>
      </w:r>
      <w:r>
        <w:rPr>
          <w:rFonts w:ascii="Times" w:hAnsi="Times"/>
        </w:rPr>
        <w:t>protect</w:t>
      </w:r>
      <w:r w:rsidR="00D03AA6">
        <w:rPr>
          <w:rFonts w:ascii="Times" w:hAnsi="Times"/>
        </w:rPr>
        <w:t>ion</w:t>
      </w:r>
      <w:r w:rsidR="00C609CF">
        <w:rPr>
          <w:rFonts w:ascii="Times" w:hAnsi="Times"/>
        </w:rPr>
        <w:t xml:space="preserve"> </w:t>
      </w:r>
      <w:r w:rsidR="00D03AA6">
        <w:rPr>
          <w:rFonts w:ascii="Times" w:hAnsi="Times"/>
        </w:rPr>
        <w:t xml:space="preserve">of </w:t>
      </w:r>
      <w:r w:rsidR="00C609CF">
        <w:rPr>
          <w:rFonts w:ascii="Times" w:hAnsi="Times"/>
        </w:rPr>
        <w:t>a)</w:t>
      </w:r>
      <w:r w:rsidR="00D03AA6">
        <w:rPr>
          <w:rFonts w:ascii="Times" w:hAnsi="Times"/>
        </w:rPr>
        <w:t xml:space="preserve"> total area</w:t>
      </w:r>
      <w:r w:rsidR="00C609CF">
        <w:rPr>
          <w:rFonts w:ascii="Times" w:hAnsi="Times"/>
        </w:rPr>
        <w:t xml:space="preserve"> within</w:t>
      </w:r>
      <w:r>
        <w:rPr>
          <w:rFonts w:ascii="Times" w:hAnsi="Times"/>
        </w:rPr>
        <w:t xml:space="preserve"> EEZ</w:t>
      </w:r>
      <w:r w:rsidR="00C609CF">
        <w:rPr>
          <w:rFonts w:ascii="Times" w:hAnsi="Times"/>
        </w:rPr>
        <w:t>; b) key biodiversity areas (KBAs</w:t>
      </w:r>
      <w:r w:rsidR="00650C15">
        <w:rPr>
          <w:rFonts w:ascii="Times" w:hAnsi="Times"/>
        </w:rPr>
        <w:t>); marine</w:t>
      </w:r>
      <w:r w:rsidR="00C609CF">
        <w:rPr>
          <w:rFonts w:ascii="Times" w:hAnsi="Times"/>
        </w:rPr>
        <w:t xml:space="preserve"> ecosystems (mangrove, seagrass, seamount and coral reefs); and c) important areas for </w:t>
      </w:r>
      <w:r w:rsidR="00650C15">
        <w:rPr>
          <w:rFonts w:ascii="Times" w:hAnsi="Times"/>
        </w:rPr>
        <w:t>fisheries</w:t>
      </w:r>
      <w:r w:rsidR="00203218">
        <w:rPr>
          <w:rFonts w:ascii="Times" w:hAnsi="Times"/>
        </w:rPr>
        <w:t xml:space="preserve"> (ref)</w:t>
      </w:r>
      <w:r w:rsidR="00650C15">
        <w:rPr>
          <w:rFonts w:ascii="Times" w:hAnsi="Times"/>
        </w:rPr>
        <w:t xml:space="preserve"> </w:t>
      </w:r>
      <w:r w:rsidR="00C609CF">
        <w:rPr>
          <w:rFonts w:ascii="Times" w:hAnsi="Times"/>
        </w:rPr>
        <w:t>(</w:t>
      </w:r>
      <w:r w:rsidR="00203218">
        <w:rPr>
          <w:rFonts w:ascii="Times" w:hAnsi="Times"/>
        </w:rPr>
        <w:t>coral reefs characterised as</w:t>
      </w:r>
      <w:r w:rsidR="00C609CF">
        <w:rPr>
          <w:rFonts w:ascii="Times" w:hAnsi="Times"/>
        </w:rPr>
        <w:t xml:space="preserve"> larval sinks and </w:t>
      </w:r>
      <w:r w:rsidR="00203218">
        <w:rPr>
          <w:rFonts w:ascii="Times" w:hAnsi="Times"/>
        </w:rPr>
        <w:t xml:space="preserve">larval </w:t>
      </w:r>
      <w:r w:rsidR="00C609CF">
        <w:rPr>
          <w:rFonts w:ascii="Times" w:hAnsi="Times"/>
        </w:rPr>
        <w:t xml:space="preserve">sources), for the </w:t>
      </w:r>
      <w:r>
        <w:rPr>
          <w:rFonts w:ascii="Times" w:hAnsi="Times"/>
        </w:rPr>
        <w:t>WIO</w:t>
      </w:r>
      <w:r w:rsidR="00C609CF">
        <w:rPr>
          <w:rFonts w:ascii="Times" w:hAnsi="Times"/>
        </w:rPr>
        <w:t>’</w:t>
      </w:r>
      <w:r>
        <w:rPr>
          <w:rFonts w:ascii="Times" w:hAnsi="Times"/>
        </w:rPr>
        <w:t xml:space="preserve"> countr</w:t>
      </w:r>
      <w:r w:rsidR="00C609CF">
        <w:rPr>
          <w:rFonts w:ascii="Times" w:hAnsi="Times"/>
        </w:rPr>
        <w:t xml:space="preserve">ies. </w:t>
      </w:r>
      <w:r w:rsidR="00D03AA6">
        <w:rPr>
          <w:rFonts w:ascii="Times" w:hAnsi="Times"/>
        </w:rPr>
        <w:t xml:space="preserve">We used </w:t>
      </w:r>
      <w:r w:rsidR="00E47027">
        <w:rPr>
          <w:rFonts w:ascii="Times" w:hAnsi="Times"/>
        </w:rPr>
        <w:t>the most recent marine protected area database for the WIO region to calculate the percent of protection of each spatial indicator (see detailed definitions of indicators in Table SX). We characterise coral reefs according to larval connectivity characteristics (e.g., source and sinks) using</w:t>
      </w:r>
      <w:r w:rsidR="0076024C">
        <w:rPr>
          <w:rFonts w:ascii="Times" w:hAnsi="Times"/>
        </w:rPr>
        <w:t xml:space="preserve"> larval connectivity estimates derived using biophysical models and network analysis (see SI for detailed description). Larval sinks were defined as coral reefs  </w:t>
      </w:r>
    </w:p>
    <w:p w14:paraId="162E2147" w14:textId="77777777" w:rsidR="00B95114" w:rsidRDefault="00B95114" w:rsidP="00B95114">
      <w:pPr>
        <w:jc w:val="both"/>
        <w:rPr>
          <w:rFonts w:ascii="Times" w:hAnsi="Times"/>
        </w:rPr>
      </w:pPr>
    </w:p>
    <w:p w14:paraId="2E085B1A" w14:textId="6DF31CCA" w:rsidR="00A11BD2" w:rsidRDefault="00CC5B09" w:rsidP="00B95114">
      <w:pPr>
        <w:jc w:val="both"/>
        <w:rPr>
          <w:rFonts w:ascii="Times" w:hAnsi="Times"/>
        </w:rPr>
      </w:pPr>
      <w:r>
        <w:rPr>
          <w:rFonts w:ascii="Times" w:hAnsi="Times"/>
        </w:rPr>
        <w:t xml:space="preserve"> </w:t>
      </w:r>
    </w:p>
    <w:p w14:paraId="3DC64217" w14:textId="79E23256" w:rsidR="009E221C" w:rsidRDefault="009E221C">
      <w:pPr>
        <w:rPr>
          <w:rFonts w:ascii="Times" w:hAnsi="Times"/>
        </w:rPr>
      </w:pPr>
    </w:p>
    <w:p w14:paraId="7CB6A278" w14:textId="2B578628" w:rsidR="004F70A0" w:rsidRDefault="009E221C">
      <w:pPr>
        <w:rPr>
          <w:rFonts w:ascii="Times" w:hAnsi="Times"/>
        </w:rPr>
      </w:pPr>
      <w:r>
        <w:rPr>
          <w:rFonts w:ascii="Times" w:hAnsi="Times"/>
        </w:rPr>
        <w:t>Results</w:t>
      </w:r>
    </w:p>
    <w:p w14:paraId="57C2712A" w14:textId="77777777" w:rsidR="0076024C" w:rsidRDefault="0076024C">
      <w:pPr>
        <w:rPr>
          <w:rFonts w:ascii="Times" w:hAnsi="Times"/>
        </w:rPr>
      </w:pPr>
    </w:p>
    <w:p w14:paraId="2DCD6383" w14:textId="2C97F448" w:rsidR="004F70A0" w:rsidRDefault="0076024C">
      <w:pPr>
        <w:rPr>
          <w:rFonts w:ascii="Times" w:hAnsi="Times"/>
        </w:rPr>
      </w:pPr>
      <w:r w:rsidRPr="0076024C">
        <w:rPr>
          <w:rFonts w:ascii="Times" w:hAnsi="Times"/>
        </w:rPr>
        <w:drawing>
          <wp:inline distT="0" distB="0" distL="0" distR="0" wp14:anchorId="5C8340BA" wp14:editId="5DE81416">
            <wp:extent cx="5731510" cy="3099435"/>
            <wp:effectExtent l="0" t="0" r="0" b="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10"/>
                    <a:stretch>
                      <a:fillRect/>
                    </a:stretch>
                  </pic:blipFill>
                  <pic:spPr>
                    <a:xfrm>
                      <a:off x="0" y="0"/>
                      <a:ext cx="5731510" cy="3099435"/>
                    </a:xfrm>
                    <a:prstGeom prst="rect">
                      <a:avLst/>
                    </a:prstGeom>
                  </pic:spPr>
                </pic:pic>
              </a:graphicData>
            </a:graphic>
          </wp:inline>
        </w:drawing>
      </w:r>
    </w:p>
    <w:p w14:paraId="19A2DF51" w14:textId="0583D6A0" w:rsidR="009E221C" w:rsidRDefault="009E221C">
      <w:pPr>
        <w:rPr>
          <w:rFonts w:ascii="Times" w:hAnsi="Times"/>
        </w:rPr>
      </w:pPr>
      <w:r>
        <w:rPr>
          <w:rFonts w:ascii="Times" w:hAnsi="Times"/>
        </w:rPr>
        <w:lastRenderedPageBreak/>
        <w:t xml:space="preserve"> </w:t>
      </w:r>
      <w:r w:rsidR="004F70A0">
        <w:rPr>
          <w:rFonts w:ascii="Times" w:hAnsi="Times"/>
          <w:noProof/>
        </w:rPr>
        <w:drawing>
          <wp:inline distT="0" distB="0" distL="0" distR="0" wp14:anchorId="600EA875" wp14:editId="3DDCFBFC">
            <wp:extent cx="6583817" cy="3616504"/>
            <wp:effectExtent l="0" t="0" r="0" b="3175"/>
            <wp:docPr id="2" name="Picture 2"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unburst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07395" cy="3629456"/>
                    </a:xfrm>
                    <a:prstGeom prst="rect">
                      <a:avLst/>
                    </a:prstGeom>
                  </pic:spPr>
                </pic:pic>
              </a:graphicData>
            </a:graphic>
          </wp:inline>
        </w:drawing>
      </w:r>
    </w:p>
    <w:p w14:paraId="79CA3321" w14:textId="0BA3E485" w:rsidR="00127F69" w:rsidRDefault="00127F69">
      <w:pPr>
        <w:rPr>
          <w:rFonts w:ascii="Times" w:hAnsi="Times"/>
        </w:rPr>
      </w:pPr>
    </w:p>
    <w:p w14:paraId="29826F20" w14:textId="268FF112" w:rsidR="00127F69" w:rsidRPr="00A11BD2" w:rsidRDefault="00670757">
      <w:pPr>
        <w:rPr>
          <w:rFonts w:ascii="Times" w:hAnsi="Times"/>
        </w:rPr>
      </w:pPr>
      <w:r w:rsidRPr="00670757">
        <w:rPr>
          <w:rFonts w:ascii="Times" w:hAnsi="Times"/>
          <w:noProof/>
        </w:rPr>
        <w:drawing>
          <wp:inline distT="0" distB="0" distL="0" distR="0" wp14:anchorId="7B2017A7" wp14:editId="5A321E4B">
            <wp:extent cx="5731510" cy="4100195"/>
            <wp:effectExtent l="0" t="0" r="0" b="190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2"/>
                    <a:stretch>
                      <a:fillRect/>
                    </a:stretch>
                  </pic:blipFill>
                  <pic:spPr>
                    <a:xfrm>
                      <a:off x="0" y="0"/>
                      <a:ext cx="5731510" cy="4100195"/>
                    </a:xfrm>
                    <a:prstGeom prst="rect">
                      <a:avLst/>
                    </a:prstGeom>
                  </pic:spPr>
                </pic:pic>
              </a:graphicData>
            </a:graphic>
          </wp:inline>
        </w:drawing>
      </w:r>
    </w:p>
    <w:sectPr w:rsidR="00127F69" w:rsidRPr="00A11BD2">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uisa Fontoura" w:date="2021-10-11T11:34:00Z" w:initials="LF">
    <w:p w14:paraId="2C572672" w14:textId="77777777" w:rsidR="00DC6082" w:rsidRDefault="00DC6082" w:rsidP="00DC6082">
      <w:pPr>
        <w:autoSpaceDE w:val="0"/>
        <w:autoSpaceDN w:val="0"/>
        <w:adjustRightInd w:val="0"/>
        <w:rPr>
          <w:rFonts w:ascii="á_ˇï'3" w:hAnsi="á_ˇï'3" w:cs="á_ˇï'3"/>
          <w:sz w:val="22"/>
          <w:szCs w:val="22"/>
          <w:lang w:val="en-GB"/>
        </w:rPr>
      </w:pPr>
      <w:r>
        <w:rPr>
          <w:rStyle w:val="CommentReference"/>
        </w:rPr>
        <w:annotationRef/>
      </w:r>
      <w:r>
        <w:rPr>
          <w:rFonts w:ascii="á_ˇï'3" w:hAnsi="á_ˇï'3" w:cs="á_ˇï'3"/>
          <w:sz w:val="22"/>
          <w:szCs w:val="22"/>
          <w:lang w:val="en-GB"/>
        </w:rPr>
        <w:t>ALOS PALSAR data acquired in 2007, 2008, 2009 and 2010 and ALOS-2 PALSAR-2 annually from 2015 onwards. (</w:t>
      </w:r>
      <w:proofErr w:type="gramStart"/>
      <w:r>
        <w:rPr>
          <w:rFonts w:ascii="á_ˇï'3" w:hAnsi="á_ˇï'3" w:cs="á_ˇï'3"/>
          <w:sz w:val="22"/>
          <w:szCs w:val="22"/>
          <w:lang w:val="en-GB"/>
        </w:rPr>
        <w:t>is</w:t>
      </w:r>
      <w:proofErr w:type="gramEnd"/>
      <w:r>
        <w:rPr>
          <w:rFonts w:ascii="á_ˇï'3" w:hAnsi="á_ˇï'3" w:cs="á_ˇï'3"/>
          <w:sz w:val="22"/>
          <w:szCs w:val="22"/>
          <w:lang w:val="en-GB"/>
        </w:rPr>
        <w:t xml:space="preserve"> there any problem on comparing data from 2010 with 2016?</w:t>
      </w:r>
    </w:p>
    <w:p w14:paraId="58578FE5" w14:textId="5A9F4CEE" w:rsidR="00DC6082" w:rsidRPr="00DC6082" w:rsidRDefault="00DC6082" w:rsidP="00DC6082">
      <w:pPr>
        <w:autoSpaceDE w:val="0"/>
        <w:autoSpaceDN w:val="0"/>
        <w:adjustRightInd w:val="0"/>
        <w:rPr>
          <w:rFonts w:ascii="á_ˇï'3" w:hAnsi="á_ˇï'3" w:cs="á_ˇï'3"/>
          <w:sz w:val="22"/>
          <w:szCs w:val="22"/>
          <w:lang w:val="en-GB"/>
        </w:rPr>
      </w:pPr>
    </w:p>
  </w:comment>
  <w:comment w:id="1" w:author="Luisa Fontoura" w:date="2021-10-11T11:54:00Z" w:initials="LF">
    <w:p w14:paraId="1E8498F3" w14:textId="2A9E6B17" w:rsidR="00CC5B09" w:rsidRDefault="00CC5B09">
      <w:pPr>
        <w:pStyle w:val="CommentText"/>
      </w:pPr>
      <w:r>
        <w:rPr>
          <w:rStyle w:val="CommentReference"/>
        </w:rPr>
        <w:annotationRef/>
      </w:r>
      <w:r>
        <w:t xml:space="preserve">I used QGIS to overlay mangrove and protected areas layers. I calculated the intersection between </w:t>
      </w:r>
    </w:p>
  </w:comment>
  <w:comment w:id="2" w:author="Luisa Fontoura" w:date="2021-10-14T13:22:00Z" w:initials="LF">
    <w:p w14:paraId="7421B237" w14:textId="40C5EFAA" w:rsidR="004573B3" w:rsidRDefault="004573B3">
      <w:pPr>
        <w:pStyle w:val="CommentText"/>
      </w:pPr>
      <w:r>
        <w:rPr>
          <w:rStyle w:val="CommentReference"/>
        </w:rPr>
        <w:annotationRef/>
      </w:r>
      <w:r>
        <w:t xml:space="preserve">Should be 10 – fish nurseries from MPAs are still missing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8578FE5" w15:done="0"/>
  <w15:commentEx w15:paraId="1E8498F3" w15:done="0"/>
  <w15:commentEx w15:paraId="7421B23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0E9FB1" w16cex:dateUtc="2021-10-11T00:34:00Z"/>
  <w16cex:commentExtensible w16cex:durableId="250EA47E" w16cex:dateUtc="2021-10-11T00:54:00Z"/>
  <w16cex:commentExtensible w16cex:durableId="2512AD9D" w16cex:dateUtc="2021-10-14T02: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8578FE5" w16cid:durableId="250E9FB1"/>
  <w16cid:commentId w16cid:paraId="1E8498F3" w16cid:durableId="250EA47E"/>
  <w16cid:commentId w16cid:paraId="7421B237" w16cid:durableId="2512AD9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02F372" w14:textId="77777777" w:rsidR="00A53E69" w:rsidRDefault="00A53E69" w:rsidP="00AC3B93">
      <w:r>
        <w:separator/>
      </w:r>
    </w:p>
  </w:endnote>
  <w:endnote w:type="continuationSeparator" w:id="0">
    <w:p w14:paraId="6E4879E6" w14:textId="77777777" w:rsidR="00A53E69" w:rsidRDefault="00A53E69" w:rsidP="00AC3B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á_ˇï'3">
    <w:altName w:val="Calibri"/>
    <w:panose1 w:val="020B0604020202020204"/>
    <w:charset w:val="4D"/>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885AF7" w14:textId="77777777" w:rsidR="00A53E69" w:rsidRDefault="00A53E69" w:rsidP="00AC3B93">
      <w:r>
        <w:separator/>
      </w:r>
    </w:p>
  </w:footnote>
  <w:footnote w:type="continuationSeparator" w:id="0">
    <w:p w14:paraId="183C4E86" w14:textId="77777777" w:rsidR="00A53E69" w:rsidRDefault="00A53E69" w:rsidP="00AC3B93">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uisa Fontoura">
    <w15:presenceInfo w15:providerId="AD" w15:userId="S::luisa.fontoura@mq.edu.au::bd6651c8-f745-4332-8582-16ca53e4918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3FBC"/>
    <w:rsid w:val="00127F69"/>
    <w:rsid w:val="001817D4"/>
    <w:rsid w:val="00203218"/>
    <w:rsid w:val="004573B3"/>
    <w:rsid w:val="004F70A0"/>
    <w:rsid w:val="00556D14"/>
    <w:rsid w:val="00650C15"/>
    <w:rsid w:val="00652DB8"/>
    <w:rsid w:val="00670757"/>
    <w:rsid w:val="006B5A26"/>
    <w:rsid w:val="00727972"/>
    <w:rsid w:val="0076024C"/>
    <w:rsid w:val="009B3FBC"/>
    <w:rsid w:val="009C07C1"/>
    <w:rsid w:val="009E221C"/>
    <w:rsid w:val="00A11BD2"/>
    <w:rsid w:val="00A53E69"/>
    <w:rsid w:val="00AC3B93"/>
    <w:rsid w:val="00B95114"/>
    <w:rsid w:val="00C609CF"/>
    <w:rsid w:val="00CC5B09"/>
    <w:rsid w:val="00D03AA6"/>
    <w:rsid w:val="00DC6082"/>
    <w:rsid w:val="00E47027"/>
    <w:rsid w:val="00EC5186"/>
    <w:rsid w:val="00FB698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35FF4612"/>
  <w15:chartTrackingRefBased/>
  <w15:docId w15:val="{090F64D9-6C27-DA48-9783-A5F6CBA8B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DC6082"/>
    <w:rPr>
      <w:sz w:val="16"/>
      <w:szCs w:val="16"/>
    </w:rPr>
  </w:style>
  <w:style w:type="paragraph" w:styleId="CommentText">
    <w:name w:val="annotation text"/>
    <w:basedOn w:val="Normal"/>
    <w:link w:val="CommentTextChar"/>
    <w:uiPriority w:val="99"/>
    <w:semiHidden/>
    <w:unhideWhenUsed/>
    <w:rsid w:val="00DC6082"/>
    <w:rPr>
      <w:sz w:val="20"/>
      <w:szCs w:val="20"/>
    </w:rPr>
  </w:style>
  <w:style w:type="character" w:customStyle="1" w:styleId="CommentTextChar">
    <w:name w:val="Comment Text Char"/>
    <w:basedOn w:val="DefaultParagraphFont"/>
    <w:link w:val="CommentText"/>
    <w:uiPriority w:val="99"/>
    <w:semiHidden/>
    <w:rsid w:val="00DC6082"/>
    <w:rPr>
      <w:sz w:val="20"/>
      <w:szCs w:val="20"/>
    </w:rPr>
  </w:style>
  <w:style w:type="paragraph" w:styleId="CommentSubject">
    <w:name w:val="annotation subject"/>
    <w:basedOn w:val="CommentText"/>
    <w:next w:val="CommentText"/>
    <w:link w:val="CommentSubjectChar"/>
    <w:uiPriority w:val="99"/>
    <w:semiHidden/>
    <w:unhideWhenUsed/>
    <w:rsid w:val="00DC6082"/>
    <w:rPr>
      <w:b/>
      <w:bCs/>
    </w:rPr>
  </w:style>
  <w:style w:type="character" w:customStyle="1" w:styleId="CommentSubjectChar">
    <w:name w:val="Comment Subject Char"/>
    <w:basedOn w:val="CommentTextChar"/>
    <w:link w:val="CommentSubject"/>
    <w:uiPriority w:val="99"/>
    <w:semiHidden/>
    <w:rsid w:val="00DC6082"/>
    <w:rPr>
      <w:b/>
      <w:bCs/>
      <w:sz w:val="20"/>
      <w:szCs w:val="20"/>
    </w:rPr>
  </w:style>
  <w:style w:type="paragraph" w:styleId="Header">
    <w:name w:val="header"/>
    <w:basedOn w:val="Normal"/>
    <w:link w:val="HeaderChar"/>
    <w:uiPriority w:val="99"/>
    <w:unhideWhenUsed/>
    <w:rsid w:val="00AC3B93"/>
    <w:pPr>
      <w:tabs>
        <w:tab w:val="center" w:pos="4513"/>
        <w:tab w:val="right" w:pos="9026"/>
      </w:tabs>
    </w:pPr>
  </w:style>
  <w:style w:type="character" w:customStyle="1" w:styleId="HeaderChar">
    <w:name w:val="Header Char"/>
    <w:basedOn w:val="DefaultParagraphFont"/>
    <w:link w:val="Header"/>
    <w:uiPriority w:val="99"/>
    <w:rsid w:val="00AC3B93"/>
  </w:style>
  <w:style w:type="paragraph" w:styleId="Footer">
    <w:name w:val="footer"/>
    <w:basedOn w:val="Normal"/>
    <w:link w:val="FooterChar"/>
    <w:uiPriority w:val="99"/>
    <w:unhideWhenUsed/>
    <w:rsid w:val="00AC3B93"/>
    <w:pPr>
      <w:tabs>
        <w:tab w:val="center" w:pos="4513"/>
        <w:tab w:val="right" w:pos="9026"/>
      </w:tabs>
    </w:pPr>
  </w:style>
  <w:style w:type="character" w:customStyle="1" w:styleId="FooterChar">
    <w:name w:val="Footer Char"/>
    <w:basedOn w:val="DefaultParagraphFont"/>
    <w:link w:val="Footer"/>
    <w:uiPriority w:val="99"/>
    <w:rsid w:val="00AC3B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fontTable" Target="fontTable.xml"/><Relationship Id="rId3" Type="http://schemas.openxmlformats.org/officeDocument/2006/relationships/webSettings" Target="webSettings.xml"/><Relationship Id="rId7" Type="http://schemas.microsoft.com/office/2011/relationships/commentsExtended" Target="commentsExtended.xml"/><Relationship Id="rId12" Type="http://schemas.openxmlformats.org/officeDocument/2006/relationships/image" Target="media/image3.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comments" Target="comments.xml"/><Relationship Id="rId11" Type="http://schemas.openxmlformats.org/officeDocument/2006/relationships/image" Target="media/image2.png"/><Relationship Id="rId5" Type="http://schemas.openxmlformats.org/officeDocument/2006/relationships/endnotes" Target="endnotes.xml"/><Relationship Id="rId15" Type="http://schemas.openxmlformats.org/officeDocument/2006/relationships/theme" Target="theme/theme1.xml"/><Relationship Id="rId10" Type="http://schemas.openxmlformats.org/officeDocument/2006/relationships/image" Target="media/image1.tiff"/><Relationship Id="rId4" Type="http://schemas.openxmlformats.org/officeDocument/2006/relationships/footnotes" Target="footnotes.xml"/><Relationship Id="rId9" Type="http://schemas.microsoft.com/office/2018/08/relationships/commentsExtensible" Target="commentsExtensible.xml"/><Relationship Id="rId14"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TotalTime>
  <Pages>2</Pages>
  <Words>289</Words>
  <Characters>1651</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Luisa Fontoura</dc:creator>
  <cp:keywords/>
  <dc:description/>
  <cp:lastModifiedBy>Luisa Fontoura</cp:lastModifiedBy>
  <cp:revision>15</cp:revision>
  <dcterms:created xsi:type="dcterms:W3CDTF">2021-10-10T23:49:00Z</dcterms:created>
  <dcterms:modified xsi:type="dcterms:W3CDTF">2021-10-14T02:39:00Z</dcterms:modified>
</cp:coreProperties>
</file>